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3" w:rsidRPr="009C4B1F" w:rsidRDefault="00041FB0" w:rsidP="00BB5B33">
      <w:pPr>
        <w:pStyle w:val="1"/>
        <w:keepNext w:val="0"/>
        <w:keepLines w:val="0"/>
        <w:pBdr>
          <w:bottom w:val="none" w:sz="0" w:space="15" w:color="auto"/>
        </w:pBdr>
        <w:shd w:val="clear" w:color="auto" w:fill="FFFFFF"/>
        <w:spacing w:before="0" w:after="0"/>
        <w:jc w:val="center"/>
        <w:rPr>
          <w:rFonts w:ascii="Times New Roman" w:eastAsia="Roboto" w:hAnsi="Times New Roman" w:cs="Times New Roman"/>
          <w:b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sz w:val="20"/>
          <w:szCs w:val="20"/>
        </w:rPr>
        <w:t>ПОЛИТИКА ОБРАБОТКИ ПЕРСОНАЛЬНЫХ ДАННЫХ</w:t>
      </w:r>
    </w:p>
    <w:p w:rsidR="00041FB0" w:rsidRPr="009C4B1F" w:rsidRDefault="00041FB0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1</w:t>
      </w:r>
      <w:r w:rsidR="005F2270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ОБЩИЕ ПОЛОЖЕНИЯ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hAnsi="Times New Roman" w:cs="Times New Roman"/>
          <w:color w:val="333333"/>
          <w:sz w:val="20"/>
          <w:szCs w:val="20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proofErr w:type="gramStart"/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Настоящая Политика определяет порядок обработки персональных данных, получаемых Оператором от Пользователей при использовании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ими 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сайт</w:t>
      </w:r>
      <w:r w:rsidR="009C4B1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ов eigame.vbudushee.ru и city-eigame.vbudushee.ru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(далее – «сайт»)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, и меры по обеспечению безопасности персональных данных в </w:t>
      </w:r>
      <w:r w:rsidR="00041FB0" w:rsidRPr="009C4B1F">
        <w:rPr>
          <w:rFonts w:ascii="Times New Roman" w:hAnsi="Times New Roman" w:cs="Times New Roman"/>
          <w:color w:val="000000"/>
          <w:sz w:val="20"/>
          <w:szCs w:val="20"/>
        </w:rPr>
        <w:t>Благотворительном фонде «Вклад в будущее» (ОГРН 1157700017518)</w:t>
      </w:r>
      <w:r w:rsidR="00041FB0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(далее – Оператор) с целью защиты прав и свобод человека и гражданина при обработке его персональных данных.</w:t>
      </w:r>
      <w:proofErr w:type="gramEnd"/>
    </w:p>
    <w:p w:rsidR="00567CE8" w:rsidRPr="009C4B1F" w:rsidRDefault="00567CE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Пользователь, осуществляя любые (все) действия, в том числе, но не ограничиваясь использование функционала 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сайта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и заполнение форм (обратной связи, регистрации или иных, предусмотренных функционалом 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сайта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) совершает Акцепт 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настоящей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Поли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ти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ки как это предусмотрено статьей 438 Гражданского кодекса Российской Федерации, тем самым безоговорочно соглашаясь со всеми положениями и условиями 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настоящей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Политики.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В Политике используются следующие основные понятия: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А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втоматизированная обработка персональных данных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– обработка персональных данных с помощью средств вычислительной техники;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Б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локирование персональных данных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И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нформационная система персональных данных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О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безличивание персональных данных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О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бработка персональных данных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О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ператор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</w:t>
      </w:r>
      <w:r w:rsidR="00F139BB" w:rsidRPr="00F139BB">
        <w:rPr>
          <w:rFonts w:ascii="Times New Roman" w:eastAsia="Roboto" w:hAnsi="Times New Roman" w:cs="Times New Roman"/>
          <w:color w:val="333333"/>
          <w:sz w:val="20"/>
          <w:szCs w:val="20"/>
        </w:rPr>
        <w:t>Благотворительн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>ый</w:t>
      </w:r>
      <w:r w:rsidR="00F139BB" w:rsidRPr="00F139BB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фонд «Вклад в будущее» (ОГРН 1157700017518)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, самостоятельно или совместно с другими лицами </w:t>
      </w:r>
      <w:r w:rsidR="00F139BB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организующи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>й</w:t>
      </w:r>
      <w:r w:rsidR="00F139BB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/или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="00F139BB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осуществляющи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>й</w:t>
      </w:r>
      <w:r w:rsidR="00F139BB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обработку персональных данных, а также </w:t>
      </w:r>
      <w:r w:rsidR="00F139BB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определяющи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>й</w:t>
      </w:r>
      <w:r w:rsidR="00F139BB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цели обработки персональных данных, состав персональных данных, подлежащих</w:t>
      </w:r>
      <w:r w:rsidR="00F139BB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обработке, действия (операции), совершаемые с персональными данными;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П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ерсональные данные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lastRenderedPageBreak/>
        <w:t>Пользователь сайта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</w:t>
      </w:r>
      <w:r w:rsidR="00BB5B33" w:rsidRPr="009C4B1F">
        <w:rPr>
          <w:rFonts w:ascii="Times New Roman" w:hAnsi="Times New Roman" w:cs="Times New Roman"/>
          <w:color w:val="000000"/>
          <w:sz w:val="20"/>
          <w:szCs w:val="20"/>
        </w:rPr>
        <w:t>физическое лицо, которое достигло возраста, предусмотренного законодательством Российской Федерации и/или обладает необходимым объемом дееспособности для акцепта (заключения) Пользовательского соглашения на сайте Оператора, а также настоящей Политики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;</w:t>
      </w:r>
    </w:p>
    <w:p w:rsidR="00D35CF3" w:rsidRPr="009C4B1F" w:rsidRDefault="00BB5B3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П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редоставление персональных данных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D35CF3" w:rsidRPr="009C4B1F" w:rsidRDefault="000D43C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>
        <w:rPr>
          <w:rFonts w:ascii="Times New Roman" w:eastAsia="Roboto" w:hAnsi="Times New Roman" w:cs="Times New Roman"/>
          <w:b/>
          <w:color w:val="333333"/>
          <w:sz w:val="20"/>
          <w:szCs w:val="20"/>
        </w:rPr>
        <w:t>С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айт 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Оператора</w:t>
      </w:r>
      <w:r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(сайт)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содержимое интернет-страниц, </w:t>
      </w:r>
      <w:proofErr w:type="gramStart"/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расположенных</w:t>
      </w:r>
      <w:proofErr w:type="gramEnd"/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в сети </w:t>
      </w:r>
      <w:r>
        <w:rPr>
          <w:rFonts w:ascii="Times New Roman" w:eastAsia="Roboto" w:hAnsi="Times New Roman" w:cs="Times New Roman"/>
          <w:color w:val="333333"/>
          <w:sz w:val="20"/>
          <w:szCs w:val="20"/>
        </w:rPr>
        <w:t>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нтернет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на домене </w:t>
      </w:r>
      <w:proofErr w:type="spellStart"/>
      <w:r w:rsidR="008F10AE" w:rsidRPr="008F10AE">
        <w:rPr>
          <w:rFonts w:ascii="Times New Roman" w:eastAsia="Roboto" w:hAnsi="Times New Roman" w:cs="Times New Roman"/>
          <w:b/>
          <w:color w:val="333333"/>
          <w:sz w:val="20"/>
          <w:szCs w:val="20"/>
        </w:rPr>
        <w:t>vbudushee.ru</w:t>
      </w:r>
      <w:proofErr w:type="spellEnd"/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, законным правообладателем и администратором которого является Оператор;</w:t>
      </w:r>
    </w:p>
    <w:p w:rsidR="00D35CF3" w:rsidRPr="009C4B1F" w:rsidRDefault="000D43C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>
        <w:rPr>
          <w:rFonts w:ascii="Times New Roman" w:eastAsia="Roboto" w:hAnsi="Times New Roman" w:cs="Times New Roman"/>
          <w:b/>
          <w:color w:val="333333"/>
          <w:sz w:val="20"/>
          <w:szCs w:val="20"/>
        </w:rPr>
        <w:t>У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ничтожение </w:t>
      </w:r>
      <w:r w:rsidR="003029D8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персональных данных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действия, в результате которых невозможно восстановить содержание персональных данных в информационной системе персональных данных и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/или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результате которых уничтожаются материальные носители персональных данных.</w:t>
      </w:r>
    </w:p>
    <w:p w:rsidR="00D35CF3" w:rsidRPr="009C4B1F" w:rsidRDefault="00D35CF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2</w:t>
      </w:r>
      <w:r w:rsidR="005F2270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СОСТАВ ОБРАБАТЫВАЕМЫХ ПЕРСОНАЛЬНЫХ ДАННЫХ И ЦЕЛИ ИХ ОБРАБОТКИ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Состав собираемых и обрабатываемых персональных данных субъектов при использовании ими сайта Оператора, а также цели их обработки, определяются Оператором в зависимости от категории субъекта персональных данных, чьи данные собираются и обрабатываются: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2.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1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Персональные данные 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Пользователей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Состав персональных данных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: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Персональные данные, не являющиеся специальными или биометрическими: фамилия; имя; отчество; пол; адрес электронной почты; дата рождения; номер телефона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, а также иные данные, установленные/запрашиваемые сайтом Оператора.</w:t>
      </w:r>
    </w:p>
    <w:p w:rsidR="00D35CF3" w:rsidRPr="009C4B1F" w:rsidRDefault="00567CE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2.2. </w:t>
      </w:r>
      <w:r w:rsidR="003029D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Цель обработки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Обеспечение соблюдения законодательства Российской Федерации; </w:t>
      </w:r>
      <w:r w:rsidR="00567CE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распространение Оператором информации, запрашиваемой Пользователем; осуществление Оператором информационной рассылки по электронным адреса Пользователей; предоставление доступа к функционалу и информации</w:t>
      </w:r>
      <w:r w:rsidR="0010671D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,</w:t>
      </w:r>
      <w:r w:rsidR="00567CE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расположенной на сайте Оператора; иные цели в соответствии с функционалом сайта Оператора.</w:t>
      </w:r>
    </w:p>
    <w:p w:rsidR="00D35CF3" w:rsidRPr="009C4B1F" w:rsidRDefault="00D35CF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3</w:t>
      </w:r>
      <w:r w:rsidR="005F2270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ПЕРЕЧЕНЬ ДЕЙСТВИЙ, СОВЕРШАЕМЫХ ОПЕРАТОРОМ С ПЕРСОНАЛЬНЫМИ ДАННЫМИ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Оператор вправе совершать следующие действия с полученными персональными данными: сбор, запись, систематизация, накопление, хранение, уточнение, извлечение, использование, обезличивание, блокирование, удаление, уничтожение персональных данных</w:t>
      </w:r>
      <w:r w:rsidR="0010671D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, а также передача данных третьим лицам/организациям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, осуществляемые как с использованием средств автоматизации, так и без использования средств автоматизации (смешанная обработка).</w:t>
      </w:r>
      <w:r w:rsidR="0010671D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Передача третьим лицам данных осуществляется только для целей использования Пользователем функционала сайта Оператора, а именно: организация рассылок, передача/предоставление Пользователю дополнительных материалов, а также иных целей.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Оператор осуществляет обработку персональных данных в течение срока, необходимого для достижения</w:t>
      </w:r>
      <w:r w:rsidR="000D43C8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целей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, определенных Оператором в настоящей Политике.</w:t>
      </w:r>
    </w:p>
    <w:p w:rsidR="00D35CF3" w:rsidRPr="009C4B1F" w:rsidRDefault="00D35CF3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4</w:t>
      </w:r>
      <w:r w:rsidR="005F2270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ПРИНЦИПЫ И УСЛОВИЯ ОБРАБОТКИ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4.1 Принципы обработки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Обработка персональных данных у Оператора осуществляется на основе следующих принципов: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законности и справедливой основы;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ограничения обработки персональных данных достижением конкретных, заранее определенных и законных целей;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недопущения обработки персональных данных, несовместимой с целями сбора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обработки только тех персональных данных, которые отвечают целям их обработки;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соответствия содержания и объема обрабатываемых персональных данных заявленным целям обработки;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недопущения обработки персональных данных, избыточных по отношению к заявленным целям их обработки;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4.2 Условия обработки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Оператор производит обработку персональных данных при наличии хотя бы одного из следующих условий: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— обработка персональных данных необходима для осуществления прав и законных интересов </w:t>
      </w:r>
      <w:r w:rsidR="000D43C8">
        <w:rPr>
          <w:rFonts w:ascii="Times New Roman" w:eastAsia="Roboto" w:hAnsi="Times New Roman" w:cs="Times New Roman"/>
          <w:color w:val="333333"/>
          <w:sz w:val="20"/>
          <w:szCs w:val="20"/>
        </w:rPr>
        <w:t>О</w:t>
      </w:r>
      <w:r w:rsidR="000D43C8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ператора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lastRenderedPageBreak/>
        <w:t>—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4.3 Конфиденциальность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Биометрические персональные данные</w:t>
      </w:r>
    </w:p>
    <w:p w:rsidR="00D35CF3" w:rsidRPr="009C4B1F" w:rsidRDefault="00E108DF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Оператором не производится обработка биометрических персональных данных.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5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Поручение обработки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Оператор вправе поручить обработку персональных данных Третьему лицу,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В свою очередь, Оператор вправе осуществлять обработку персональных данных по поручению Третьего лица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6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Обработка персональных данных граждан Российской Федерации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proofErr w:type="gramStart"/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«Интернет», </w:t>
      </w:r>
      <w:r w:rsidR="000D43C8">
        <w:rPr>
          <w:rFonts w:ascii="Times New Roman" w:eastAsia="Roboto" w:hAnsi="Times New Roman" w:cs="Times New Roman"/>
          <w:color w:val="333333"/>
          <w:sz w:val="20"/>
          <w:szCs w:val="20"/>
        </w:rPr>
        <w:t>О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</w:t>
      </w:r>
      <w:proofErr w:type="gramEnd"/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с использованием баз данных, находящихся на территории Российской Федерации, за исключением случаев: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— исполнение судебного акта);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—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lastRenderedPageBreak/>
        <w:t>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/или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региональных порталах государственных и муниципальных услуг;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обработка персональных данных необходима для осуществления профессиональной деятельности журналиста и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/или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4.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7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Трансграничная передача персональных данных</w:t>
      </w:r>
    </w:p>
    <w:p w:rsidR="00E108DF" w:rsidRPr="009C4B1F" w:rsidRDefault="00E108DF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Оператором не осуществляет </w:t>
      </w:r>
      <w:r w:rsidR="0010671D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трансграничную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передач</w:t>
      </w:r>
      <w:r w:rsidR="0010671D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у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персональных данных третьим лицам /иным организациям. 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  <w:t>5</w:t>
      </w:r>
      <w:r w:rsidR="005F2270"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  <w:t xml:space="preserve"> ПРАВА СУБЪЕКТА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5.1 Согласие субъекта персональных данных на обработку его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5.2 Права субъекта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Субъект персональных данных может в любое время отозвать согласие на обработку персональных данных, предоставленное Оператору, путем либо (1) направления письменного 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на адрес электронной почты, размещенный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на Сайте Оператора, либо (2) </w:t>
      </w:r>
      <w:r w:rsidR="00E108DF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посредством функционала сайта Оператор, если такой функционал предусмотрен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предусмотренных ФЗ-152.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</w:t>
      </w:r>
      <w:r w:rsidR="000D43C8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персональных данных.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lastRenderedPageBreak/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Субъект персональных данных имеет право на защиту своих прав и законных интересов, в том числе на возмещение убытков и</w:t>
      </w:r>
      <w:r w:rsidR="00BB5B33"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/или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компенсацию морального вреда.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6</w:t>
      </w:r>
      <w:r w:rsidR="005F2270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ОБЕСПЕЧЕНИЕ БЕЗОПАСНОСТИ ПЕРСОНАЛЬНЫХ ДАННЫХ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назначение должностных лиц, ответственных за организацию обработки и защиты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ограничение состава лиц, допущенных к обработке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организация учета, хранения и обращения носителей, содержащих информацию с персональными данными;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определение угроз безопасности персональных данных при их обработке, формирование на их основе моделей угроз;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разработка на основе модели угроз системы защиты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проверка готовности и эффективности использования средств защиты информации;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разграничение доступа пользователей к информационным ресурсам и программно-аппаратным средствам обработки информации;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регистрация и учет действий пользователей информационных систем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использование антивирусных средств и средств восстановления системы защиты персональных данных;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—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7</w:t>
      </w:r>
      <w:r w:rsidR="005F2270"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color w:val="333333"/>
          <w:sz w:val="20"/>
          <w:szCs w:val="20"/>
        </w:rPr>
        <w:t xml:space="preserve"> ЗАКЛЮЧИТЕЛЬНЫЕ ПОЛОЖЕНИЯ</w:t>
      </w:r>
    </w:p>
    <w:p w:rsidR="00D35CF3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Иные права и обязанности Оператора в связи с обработкой персональных данных определяются</w:t>
      </w:r>
      <w:r w:rsidR="000D43C8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</w:t>
      </w:r>
      <w:bookmarkStart w:id="0" w:name="_GoBack"/>
      <w:bookmarkEnd w:id="0"/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>законодательством Российской Федерации в области персональных данных.</w:t>
      </w:r>
    </w:p>
    <w:p w:rsidR="00F23CE2" w:rsidRPr="009C4B1F" w:rsidRDefault="003029D8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lastRenderedPageBreak/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F23CE2" w:rsidRPr="009C4B1F" w:rsidRDefault="00F23CE2" w:rsidP="00BB5B33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  <w:t>8</w:t>
      </w:r>
      <w:r w:rsidR="005F2270"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  <w:t>.</w:t>
      </w:r>
      <w:r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</w:rPr>
        <w:t xml:space="preserve"> ФАЙЛЫ </w:t>
      </w:r>
      <w:r w:rsidRPr="009C4B1F">
        <w:rPr>
          <w:rFonts w:ascii="Times New Roman" w:eastAsia="Roboto" w:hAnsi="Times New Roman" w:cs="Times New Roman"/>
          <w:b/>
          <w:bCs/>
          <w:color w:val="333333"/>
          <w:sz w:val="20"/>
          <w:szCs w:val="20"/>
          <w:lang w:val="en-US"/>
        </w:rPr>
        <w:t>COCKIE</w:t>
      </w:r>
    </w:p>
    <w:p w:rsidR="00F23CE2" w:rsidRPr="009C4B1F" w:rsidRDefault="00F23CE2" w:rsidP="00F23CE2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На сайте Оператора используются файлы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  <w:lang w:val="en-US"/>
        </w:rPr>
        <w:t>cookie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. При использовании Пользователем сайта, Пользователь даете согласие на использование файлов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  <w:lang w:val="en-US"/>
        </w:rPr>
        <w:t>cookie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в соответствии с настоящим Условиями пользования сайтом, а также настоящей Политикой. </w:t>
      </w:r>
    </w:p>
    <w:p w:rsidR="00F23CE2" w:rsidRPr="009C4B1F" w:rsidRDefault="00F23CE2" w:rsidP="00F23CE2">
      <w:pPr>
        <w:pBdr>
          <w:bottom w:val="none" w:sz="0" w:space="15" w:color="auto"/>
        </w:pBdr>
        <w:shd w:val="clear" w:color="auto" w:fill="FFFFFF"/>
        <w:spacing w:line="376" w:lineRule="auto"/>
        <w:jc w:val="both"/>
        <w:rPr>
          <w:rFonts w:ascii="Times New Roman" w:eastAsia="Roboto" w:hAnsi="Times New Roman" w:cs="Times New Roman"/>
          <w:color w:val="333333"/>
          <w:sz w:val="20"/>
          <w:szCs w:val="20"/>
        </w:rPr>
      </w:pP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Файлы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  <w:lang w:val="en-US"/>
        </w:rPr>
        <w:t>cookie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— небольшие текстовые файлы, которые отправляются на устройство, в случаях, когда Пользователь посещаете сайт. Файлы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  <w:lang w:val="en-US"/>
        </w:rPr>
        <w:t>cookie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затем возвращаются на исходный сайт при каждом последующем визите. Файлы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  <w:lang w:val="en-US"/>
        </w:rPr>
        <w:t>cookies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играют роль памяти для сайта, позволяя сайту идентифицировать устройство Пользователя при его посещениях сайта. Файлы 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  <w:lang w:val="en-US"/>
        </w:rPr>
        <w:t>cookie</w:t>
      </w:r>
      <w:r w:rsidRPr="009C4B1F">
        <w:rPr>
          <w:rFonts w:ascii="Times New Roman" w:eastAsia="Roboto" w:hAnsi="Times New Roman" w:cs="Times New Roman"/>
          <w:color w:val="333333"/>
          <w:sz w:val="20"/>
          <w:szCs w:val="20"/>
        </w:rPr>
        <w:t xml:space="preserve"> также могут запомнить предпочтения Пользователя, улучшить взаимодействие с сайтом, а также адаптировать отображаемую рекламу наиболее выгодным для Пользователя образом.</w:t>
      </w:r>
    </w:p>
    <w:p w:rsidR="00D35CF3" w:rsidRPr="009C4B1F" w:rsidRDefault="00D35CF3" w:rsidP="00BB5B3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35CF3" w:rsidRPr="009C4B1F" w:rsidSect="000D43C8">
      <w:footerReference w:type="default" r:id="rId7"/>
      <w:pgSz w:w="11909" w:h="16834"/>
      <w:pgMar w:top="1440" w:right="1440" w:bottom="141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96" w:rsidRDefault="00B25696" w:rsidP="00BB5B33">
      <w:pPr>
        <w:spacing w:line="240" w:lineRule="auto"/>
      </w:pPr>
      <w:r>
        <w:separator/>
      </w:r>
    </w:p>
  </w:endnote>
  <w:endnote w:type="continuationSeparator" w:id="0">
    <w:p w:rsidR="00B25696" w:rsidRDefault="00B25696" w:rsidP="00BB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640811"/>
      <w:docPartObj>
        <w:docPartGallery w:val="Page Numbers (Bottom of Page)"/>
        <w:docPartUnique/>
      </w:docPartObj>
    </w:sdtPr>
    <w:sdtContent>
      <w:sdt>
        <w:sdtPr>
          <w:id w:val="350383416"/>
          <w:docPartObj>
            <w:docPartGallery w:val="Page Numbers (Top of Page)"/>
            <w:docPartUnique/>
          </w:docPartObj>
        </w:sdtPr>
        <w:sdtContent>
          <w:p w:rsidR="00BB5B33" w:rsidRPr="00515B4D" w:rsidRDefault="008F10AE" w:rsidP="00BB5B33">
            <w:pPr>
              <w:pStyle w:val="a9"/>
              <w:spacing w:before="240"/>
              <w:jc w:val="center"/>
              <w:rPr>
                <w:lang w:val="en-US"/>
              </w:rPr>
            </w:pPr>
            <w:r w:rsidRPr="00A67136">
              <w:rPr>
                <w:rFonts w:ascii="Garamond" w:hAnsi="Garamond"/>
                <w:bCs/>
                <w:sz w:val="16"/>
              </w:rPr>
              <w:fldChar w:fldCharType="begin"/>
            </w:r>
            <w:r w:rsidR="00BB5B33" w:rsidRPr="00515B4D">
              <w:rPr>
                <w:rFonts w:ascii="Garamond" w:hAnsi="Garamond"/>
                <w:bCs/>
                <w:sz w:val="16"/>
                <w:lang w:val="en-US"/>
              </w:rPr>
              <w:instrText xml:space="preserve"> PAGE </w:instrText>
            </w:r>
            <w:r w:rsidRPr="00A67136">
              <w:rPr>
                <w:rFonts w:ascii="Garamond" w:hAnsi="Garamond"/>
                <w:bCs/>
                <w:sz w:val="16"/>
              </w:rPr>
              <w:fldChar w:fldCharType="separate"/>
            </w:r>
            <w:r w:rsidR="0042757A">
              <w:rPr>
                <w:rFonts w:ascii="Garamond" w:hAnsi="Garamond"/>
                <w:bCs/>
                <w:noProof/>
                <w:sz w:val="16"/>
                <w:lang w:val="en-US"/>
              </w:rPr>
              <w:t>1</w:t>
            </w:r>
            <w:r w:rsidRPr="00A67136">
              <w:rPr>
                <w:rFonts w:ascii="Garamond" w:hAnsi="Garamond"/>
                <w:bCs/>
                <w:sz w:val="16"/>
              </w:rPr>
              <w:fldChar w:fldCharType="end"/>
            </w:r>
            <w:r w:rsidR="00BB5B33">
              <w:rPr>
                <w:rFonts w:ascii="Garamond" w:hAnsi="Garamond"/>
                <w:bCs/>
                <w:sz w:val="16"/>
                <w:lang w:val="en-US"/>
              </w:rPr>
              <w:t>|</w:t>
            </w:r>
            <w:r w:rsidRPr="00A67136">
              <w:rPr>
                <w:rFonts w:ascii="Garamond" w:hAnsi="Garamond"/>
                <w:bCs/>
                <w:sz w:val="16"/>
              </w:rPr>
              <w:fldChar w:fldCharType="begin"/>
            </w:r>
            <w:r w:rsidR="00BB5B33" w:rsidRPr="00515B4D">
              <w:rPr>
                <w:rFonts w:ascii="Garamond" w:hAnsi="Garamond"/>
                <w:bCs/>
                <w:sz w:val="16"/>
                <w:lang w:val="en-US"/>
              </w:rPr>
              <w:instrText xml:space="preserve"> NUMPAGES  </w:instrText>
            </w:r>
            <w:r w:rsidRPr="00A67136">
              <w:rPr>
                <w:rFonts w:ascii="Garamond" w:hAnsi="Garamond"/>
                <w:bCs/>
                <w:sz w:val="16"/>
              </w:rPr>
              <w:fldChar w:fldCharType="separate"/>
            </w:r>
            <w:r w:rsidR="0042757A">
              <w:rPr>
                <w:rFonts w:ascii="Garamond" w:hAnsi="Garamond"/>
                <w:bCs/>
                <w:noProof/>
                <w:sz w:val="16"/>
                <w:lang w:val="en-US"/>
              </w:rPr>
              <w:t>7</w:t>
            </w:r>
            <w:r w:rsidRPr="00A67136">
              <w:rPr>
                <w:rFonts w:ascii="Garamond" w:hAnsi="Garamond"/>
                <w:bCs/>
                <w:sz w:val="16"/>
              </w:rPr>
              <w:fldChar w:fldCharType="end"/>
            </w:r>
          </w:p>
        </w:sdtContent>
      </w:sdt>
    </w:sdtContent>
  </w:sdt>
  <w:p w:rsidR="00BB5B33" w:rsidRPr="00CB200D" w:rsidRDefault="00BB5B33" w:rsidP="00BB5B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Garamond" w:hAnsi="Garamond"/>
        <w:color w:val="000000"/>
        <w:sz w:val="16"/>
        <w:lang w:val="en-US"/>
      </w:rPr>
    </w:pPr>
    <w:r>
      <w:rPr>
        <w:rFonts w:ascii="Garamond" w:hAnsi="Garamond"/>
        <w:color w:val="000000"/>
        <w:sz w:val="16"/>
        <w:lang w:val="en-US"/>
      </w:rPr>
      <w:t>Moscow</w:t>
    </w:r>
  </w:p>
  <w:p w:rsidR="00BB5B33" w:rsidRPr="00C61F13" w:rsidRDefault="00BB5B33" w:rsidP="00BB5B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Garamond" w:hAnsi="Garamond"/>
        <w:color w:val="000000"/>
        <w:sz w:val="16"/>
        <w:lang w:val="en-US"/>
      </w:rPr>
    </w:pPr>
    <w:r>
      <w:rPr>
        <w:rFonts w:ascii="Garamond" w:hAnsi="Garamond"/>
        <w:color w:val="000000"/>
        <w:sz w:val="16"/>
        <w:lang w:val="en-US"/>
      </w:rPr>
      <w:t>P</w:t>
    </w:r>
    <w:r w:rsidRPr="00BB5B33">
      <w:rPr>
        <w:rFonts w:ascii="Garamond" w:hAnsi="Garamond"/>
        <w:color w:val="000000"/>
        <w:sz w:val="16"/>
        <w:lang w:val="en-US"/>
      </w:rPr>
      <w:t xml:space="preserve">ersonal data processing </w:t>
    </w:r>
    <w:r>
      <w:rPr>
        <w:rFonts w:ascii="Garamond" w:hAnsi="Garamond"/>
        <w:color w:val="000000"/>
        <w:sz w:val="16"/>
        <w:lang w:val="en-US"/>
      </w:rPr>
      <w:t>P</w:t>
    </w:r>
    <w:r w:rsidRPr="00BB5B33">
      <w:rPr>
        <w:rFonts w:ascii="Garamond" w:hAnsi="Garamond"/>
        <w:color w:val="000000"/>
        <w:sz w:val="16"/>
        <w:lang w:val="en-US"/>
      </w:rPr>
      <w:t xml:space="preserve">olicy </w:t>
    </w:r>
    <w:r w:rsidRPr="00154F2F">
      <w:rPr>
        <w:rFonts w:ascii="Garamond" w:hAnsi="Garamond"/>
        <w:color w:val="000000"/>
        <w:sz w:val="16"/>
        <w:lang w:val="en-US"/>
      </w:rPr>
      <w:t>template</w:t>
    </w:r>
    <w:r w:rsidRPr="00135BE2">
      <w:rPr>
        <w:rFonts w:ascii="Garamond" w:hAnsi="Garamond"/>
        <w:color w:val="000000"/>
        <w:sz w:val="16"/>
        <w:lang w:val="en-US"/>
      </w:rPr>
      <w:t xml:space="preserve"> </w:t>
    </w:r>
    <w:r w:rsidR="006C744E">
      <w:rPr>
        <w:rFonts w:ascii="Garamond" w:hAnsi="Garamond"/>
        <w:color w:val="000000"/>
        <w:sz w:val="16"/>
        <w:lang w:val="en-US"/>
      </w:rPr>
      <w:t>01</w:t>
    </w:r>
    <w:r>
      <w:rPr>
        <w:rFonts w:ascii="Garamond" w:hAnsi="Garamond"/>
        <w:color w:val="000000"/>
        <w:sz w:val="16"/>
        <w:lang w:val="en-US"/>
      </w:rPr>
      <w:t>|0</w:t>
    </w:r>
    <w:r w:rsidR="006C744E">
      <w:rPr>
        <w:rFonts w:ascii="Garamond" w:hAnsi="Garamond"/>
        <w:color w:val="000000"/>
        <w:sz w:val="16"/>
        <w:lang w:val="en-US"/>
      </w:rPr>
      <w:t>2</w:t>
    </w:r>
    <w:r>
      <w:rPr>
        <w:rFonts w:ascii="Garamond" w:hAnsi="Garamond"/>
        <w:color w:val="000000"/>
        <w:sz w:val="16"/>
        <w:lang w:val="en-US"/>
      </w:rPr>
      <w:t>|20</w:t>
    </w:r>
  </w:p>
  <w:p w:rsidR="00BB5B33" w:rsidRPr="00BB5B33" w:rsidRDefault="00BB5B33" w:rsidP="00BB5B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Garamond" w:hAnsi="Garamond"/>
        <w:color w:val="000000"/>
        <w:sz w:val="16"/>
        <w:lang w:val="en-US"/>
      </w:rPr>
    </w:pPr>
    <w:r>
      <w:rPr>
        <w:rFonts w:ascii="Garamond" w:hAnsi="Garamond"/>
        <w:color w:val="000000"/>
        <w:sz w:val="16"/>
        <w:lang w:val="en-US"/>
      </w:rPr>
      <w:t>Copyright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96" w:rsidRDefault="00B25696" w:rsidP="00BB5B33">
      <w:pPr>
        <w:spacing w:line="240" w:lineRule="auto"/>
      </w:pPr>
      <w:r>
        <w:separator/>
      </w:r>
    </w:p>
  </w:footnote>
  <w:footnote w:type="continuationSeparator" w:id="0">
    <w:p w:rsidR="00B25696" w:rsidRDefault="00B25696" w:rsidP="00BB5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58B3"/>
    <w:multiLevelType w:val="multilevel"/>
    <w:tmpl w:val="45B234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3801" w:hanging="54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nest">
    <w15:presenceInfo w15:providerId="Windows Live" w15:userId="10d6186f98018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F3"/>
    <w:rsid w:val="0001077D"/>
    <w:rsid w:val="00041FB0"/>
    <w:rsid w:val="00071CD5"/>
    <w:rsid w:val="000A0341"/>
    <w:rsid w:val="000D43C8"/>
    <w:rsid w:val="0010671D"/>
    <w:rsid w:val="001E4AC6"/>
    <w:rsid w:val="002333A5"/>
    <w:rsid w:val="003029D8"/>
    <w:rsid w:val="0042757A"/>
    <w:rsid w:val="004B7123"/>
    <w:rsid w:val="0052643F"/>
    <w:rsid w:val="00567CE8"/>
    <w:rsid w:val="005B454E"/>
    <w:rsid w:val="005D5417"/>
    <w:rsid w:val="005F2270"/>
    <w:rsid w:val="006B3F72"/>
    <w:rsid w:val="006C744E"/>
    <w:rsid w:val="006F05A6"/>
    <w:rsid w:val="0070307A"/>
    <w:rsid w:val="00725F5F"/>
    <w:rsid w:val="008129D3"/>
    <w:rsid w:val="00892718"/>
    <w:rsid w:val="008D10A1"/>
    <w:rsid w:val="008F10AE"/>
    <w:rsid w:val="009C4B1F"/>
    <w:rsid w:val="00B17B1B"/>
    <w:rsid w:val="00B25696"/>
    <w:rsid w:val="00B521FB"/>
    <w:rsid w:val="00BB5B33"/>
    <w:rsid w:val="00BD7D99"/>
    <w:rsid w:val="00D35CF3"/>
    <w:rsid w:val="00D75EBE"/>
    <w:rsid w:val="00E01832"/>
    <w:rsid w:val="00E108DF"/>
    <w:rsid w:val="00F139BB"/>
    <w:rsid w:val="00F23CE2"/>
    <w:rsid w:val="00F6669A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A"/>
  </w:style>
  <w:style w:type="paragraph" w:styleId="1">
    <w:name w:val="heading 1"/>
    <w:basedOn w:val="a"/>
    <w:next w:val="a"/>
    <w:uiPriority w:val="9"/>
    <w:qFormat/>
    <w:rsid w:val="00F666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666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666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666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6669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666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6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6669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6669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41F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B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B33"/>
  </w:style>
  <w:style w:type="paragraph" w:styleId="a9">
    <w:name w:val="footer"/>
    <w:basedOn w:val="a"/>
    <w:link w:val="aa"/>
    <w:uiPriority w:val="99"/>
    <w:unhideWhenUsed/>
    <w:rsid w:val="00BB5B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B33"/>
  </w:style>
  <w:style w:type="character" w:styleId="ab">
    <w:name w:val="annotation reference"/>
    <w:basedOn w:val="a0"/>
    <w:uiPriority w:val="99"/>
    <w:semiHidden/>
    <w:unhideWhenUsed/>
    <w:rsid w:val="006F05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05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05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5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05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 Ермакова</cp:lastModifiedBy>
  <cp:revision>4</cp:revision>
  <dcterms:created xsi:type="dcterms:W3CDTF">2021-02-01T11:22:00Z</dcterms:created>
  <dcterms:modified xsi:type="dcterms:W3CDTF">2021-02-01T13:44:00Z</dcterms:modified>
</cp:coreProperties>
</file>